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EA" w:rsidRPr="007B784C" w:rsidRDefault="00ED67EA" w:rsidP="004E3891">
      <w:pPr>
        <w:numPr>
          <w:ilvl w:val="0"/>
          <w:numId w:val="1"/>
        </w:numPr>
        <w:spacing w:before="240"/>
        <w:jc w:val="both"/>
        <w:rPr>
          <w:rFonts w:ascii="Arial" w:hAnsi="Arial" w:cs="Arial"/>
          <w:color w:val="auto"/>
          <w:sz w:val="22"/>
          <w:szCs w:val="22"/>
        </w:rPr>
      </w:pPr>
      <w:bookmarkStart w:id="0" w:name="_GoBack"/>
      <w:bookmarkEnd w:id="0"/>
      <w:r w:rsidRPr="007B784C">
        <w:rPr>
          <w:rFonts w:ascii="Arial" w:hAnsi="Arial" w:cs="Arial"/>
          <w:color w:val="auto"/>
          <w:sz w:val="22"/>
          <w:szCs w:val="22"/>
        </w:rPr>
        <w:t xml:space="preserve">The </w:t>
      </w:r>
      <w:r w:rsidR="0042771F" w:rsidRPr="007B784C">
        <w:rPr>
          <w:rFonts w:ascii="Arial" w:hAnsi="Arial" w:cs="Arial"/>
          <w:color w:val="auto"/>
          <w:sz w:val="22"/>
          <w:szCs w:val="22"/>
        </w:rPr>
        <w:t xml:space="preserve">State of the Industry </w:t>
      </w:r>
      <w:r w:rsidR="007B784C">
        <w:rPr>
          <w:rFonts w:ascii="Arial" w:hAnsi="Arial" w:cs="Arial"/>
          <w:color w:val="auto"/>
          <w:sz w:val="22"/>
          <w:szCs w:val="22"/>
        </w:rPr>
        <w:t>(SOTI) o</w:t>
      </w:r>
      <w:r w:rsidR="0042771F" w:rsidRPr="007B784C">
        <w:rPr>
          <w:rFonts w:ascii="Arial" w:hAnsi="Arial" w:cs="Arial"/>
          <w:color w:val="auto"/>
          <w:sz w:val="22"/>
          <w:szCs w:val="22"/>
        </w:rPr>
        <w:t xml:space="preserve">nline </w:t>
      </w:r>
      <w:r w:rsidR="007B784C">
        <w:rPr>
          <w:rFonts w:ascii="Arial" w:hAnsi="Arial" w:cs="Arial"/>
          <w:color w:val="auto"/>
          <w:sz w:val="22"/>
          <w:szCs w:val="22"/>
        </w:rPr>
        <w:t>r</w:t>
      </w:r>
      <w:r w:rsidR="0042771F" w:rsidRPr="007B784C">
        <w:rPr>
          <w:rFonts w:ascii="Arial" w:hAnsi="Arial" w:cs="Arial"/>
          <w:color w:val="auto"/>
          <w:sz w:val="22"/>
          <w:szCs w:val="22"/>
        </w:rPr>
        <w:t xml:space="preserve">eport </w:t>
      </w:r>
      <w:r w:rsidRPr="007B784C">
        <w:rPr>
          <w:rFonts w:ascii="Arial" w:hAnsi="Arial" w:cs="Arial"/>
          <w:color w:val="auto"/>
          <w:sz w:val="22"/>
          <w:szCs w:val="22"/>
        </w:rPr>
        <w:t xml:space="preserve">is about tracking the progress of the </w:t>
      </w:r>
      <w:r w:rsidRPr="007B784C">
        <w:rPr>
          <w:rFonts w:ascii="Arial" w:hAnsi="Arial" w:cs="Arial"/>
          <w:i/>
          <w:iCs/>
          <w:color w:val="auto"/>
          <w:sz w:val="22"/>
          <w:szCs w:val="22"/>
        </w:rPr>
        <w:t xml:space="preserve">DestinationQ </w:t>
      </w:r>
      <w:r w:rsidRPr="007B784C">
        <w:rPr>
          <w:rFonts w:ascii="Arial" w:hAnsi="Arial" w:cs="Arial"/>
          <w:color w:val="auto"/>
          <w:sz w:val="22"/>
          <w:szCs w:val="22"/>
        </w:rPr>
        <w:t xml:space="preserve">partnership, and the achievements of the government, industry and university partnership. It is also a key deliverable of the </w:t>
      </w:r>
      <w:r w:rsidRPr="007B784C">
        <w:rPr>
          <w:rFonts w:ascii="Arial" w:hAnsi="Arial" w:cs="Arial"/>
          <w:i/>
          <w:iCs/>
          <w:color w:val="auto"/>
          <w:sz w:val="22"/>
          <w:szCs w:val="22"/>
        </w:rPr>
        <w:t>Destination Success Action Plan (2014-2015)</w:t>
      </w:r>
      <w:r w:rsidRPr="007B784C">
        <w:rPr>
          <w:rFonts w:ascii="Arial" w:hAnsi="Arial" w:cs="Arial"/>
          <w:color w:val="auto"/>
          <w:sz w:val="22"/>
          <w:szCs w:val="22"/>
        </w:rPr>
        <w:t xml:space="preserve">. </w:t>
      </w:r>
    </w:p>
    <w:p w:rsidR="00ED67EA" w:rsidRPr="00ED67EA" w:rsidRDefault="00ED67EA" w:rsidP="004E3891">
      <w:pPr>
        <w:numPr>
          <w:ilvl w:val="0"/>
          <w:numId w:val="1"/>
        </w:numPr>
        <w:spacing w:before="240"/>
        <w:jc w:val="both"/>
        <w:rPr>
          <w:rFonts w:ascii="Arial" w:hAnsi="Arial" w:cs="Arial"/>
          <w:color w:val="auto"/>
          <w:sz w:val="22"/>
          <w:szCs w:val="22"/>
        </w:rPr>
      </w:pPr>
      <w:r w:rsidRPr="00ED67EA">
        <w:rPr>
          <w:rFonts w:ascii="Arial" w:hAnsi="Arial" w:cs="Arial"/>
          <w:color w:val="auto"/>
          <w:sz w:val="22"/>
          <w:szCs w:val="22"/>
        </w:rPr>
        <w:t xml:space="preserve">The Queensland Tourism Industry Council (QTIC), regional tourism organisations, government agencies and universities have all contributed to the SOTI online report. The </w:t>
      </w:r>
      <w:r w:rsidR="00EB5AEE">
        <w:rPr>
          <w:rFonts w:ascii="Arial" w:hAnsi="Arial" w:cs="Arial"/>
          <w:color w:val="auto"/>
          <w:sz w:val="22"/>
          <w:szCs w:val="22"/>
        </w:rPr>
        <w:t xml:space="preserve">2015 </w:t>
      </w:r>
      <w:r w:rsidR="007B784C">
        <w:rPr>
          <w:rFonts w:ascii="Arial" w:hAnsi="Arial" w:cs="Arial"/>
          <w:color w:val="auto"/>
          <w:sz w:val="22"/>
          <w:szCs w:val="22"/>
        </w:rPr>
        <w:t xml:space="preserve">SOTI </w:t>
      </w:r>
      <w:r w:rsidRPr="00ED67EA">
        <w:rPr>
          <w:rFonts w:ascii="Arial" w:hAnsi="Arial" w:cs="Arial"/>
          <w:color w:val="auto"/>
          <w:sz w:val="22"/>
          <w:szCs w:val="22"/>
        </w:rPr>
        <w:t xml:space="preserve">online report </w:t>
      </w:r>
      <w:r w:rsidR="00EB5AEE">
        <w:rPr>
          <w:rFonts w:ascii="Arial" w:hAnsi="Arial" w:cs="Arial"/>
          <w:color w:val="auto"/>
          <w:sz w:val="22"/>
          <w:szCs w:val="22"/>
        </w:rPr>
        <w:t xml:space="preserve">is available via the website </w:t>
      </w:r>
      <w:hyperlink r:id="rId10" w:history="1">
        <w:r w:rsidR="00EB5AEE" w:rsidRPr="00B6415B">
          <w:rPr>
            <w:rStyle w:val="Hyperlink"/>
            <w:rFonts w:ascii="Arial" w:hAnsi="Arial" w:cs="Arial"/>
            <w:sz w:val="22"/>
            <w:szCs w:val="22"/>
          </w:rPr>
          <w:t>www.destq.com.au</w:t>
        </w:r>
      </w:hyperlink>
      <w:r w:rsidR="00EB5AEE">
        <w:rPr>
          <w:rFonts w:ascii="Arial" w:hAnsi="Arial" w:cs="Arial"/>
          <w:color w:val="auto"/>
          <w:sz w:val="22"/>
          <w:szCs w:val="22"/>
        </w:rPr>
        <w:t xml:space="preserve"> and </w:t>
      </w:r>
      <w:r w:rsidRPr="00ED67EA">
        <w:rPr>
          <w:rFonts w:ascii="Arial" w:hAnsi="Arial" w:cs="Arial"/>
          <w:color w:val="auto"/>
          <w:sz w:val="22"/>
          <w:szCs w:val="22"/>
        </w:rPr>
        <w:t xml:space="preserve">includes: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case studies/key achievements for the tourism industry in each destination in the last 12 months;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key tourism insights from leading universities;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information on </w:t>
      </w:r>
      <w:r w:rsidRPr="00ED67EA">
        <w:rPr>
          <w:rFonts w:ascii="Arial" w:hAnsi="Arial" w:cs="Arial"/>
          <w:i/>
          <w:iCs/>
          <w:color w:val="auto"/>
          <w:sz w:val="22"/>
          <w:szCs w:val="22"/>
        </w:rPr>
        <w:t xml:space="preserve">Destination Success Action Plan </w:t>
      </w:r>
      <w:r w:rsidRPr="00ED67EA">
        <w:rPr>
          <w:rFonts w:ascii="Arial" w:hAnsi="Arial" w:cs="Arial"/>
          <w:color w:val="auto"/>
          <w:sz w:val="22"/>
          <w:szCs w:val="22"/>
        </w:rPr>
        <w:t xml:space="preserve">actions;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reports on individual 2014 </w:t>
      </w:r>
      <w:r w:rsidRPr="00ED67EA">
        <w:rPr>
          <w:rFonts w:ascii="Arial" w:hAnsi="Arial" w:cs="Arial"/>
          <w:i/>
          <w:iCs/>
          <w:color w:val="auto"/>
          <w:sz w:val="22"/>
          <w:szCs w:val="22"/>
        </w:rPr>
        <w:t xml:space="preserve">DestinationQ </w:t>
      </w:r>
      <w:r w:rsidRPr="00ED67EA">
        <w:rPr>
          <w:rFonts w:ascii="Arial" w:hAnsi="Arial" w:cs="Arial"/>
          <w:color w:val="auto"/>
          <w:sz w:val="22"/>
          <w:szCs w:val="22"/>
        </w:rPr>
        <w:t xml:space="preserve">commitments;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statements from various Ministers outlining the government’s commitments under the various Action Plan themes; and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a joint foreword from the Minister for Tourism, Major Events, Small Business and the Commonwealth Games, the Premier and the Chair of the Queensland Tourism Industry Council (QTIC). </w:t>
      </w:r>
    </w:p>
    <w:p w:rsidR="00ED67EA" w:rsidRDefault="00ED67EA" w:rsidP="004E3891">
      <w:pPr>
        <w:pStyle w:val="ListParagraph"/>
        <w:numPr>
          <w:ilvl w:val="0"/>
          <w:numId w:val="1"/>
        </w:numPr>
        <w:autoSpaceDE w:val="0"/>
        <w:autoSpaceDN w:val="0"/>
        <w:adjustRightInd w:val="0"/>
        <w:spacing w:before="240"/>
        <w:jc w:val="both"/>
        <w:rPr>
          <w:rFonts w:ascii="Arial" w:eastAsia="Calibri" w:hAnsi="Arial" w:cs="Arial"/>
          <w:color w:val="auto"/>
          <w:sz w:val="22"/>
          <w:szCs w:val="22"/>
        </w:rPr>
      </w:pPr>
      <w:r w:rsidRPr="00ED67EA">
        <w:rPr>
          <w:rFonts w:ascii="Arial" w:eastAsia="Calibri" w:hAnsi="Arial" w:cs="Arial"/>
          <w:color w:val="auto"/>
          <w:sz w:val="22"/>
          <w:szCs w:val="22"/>
        </w:rPr>
        <w:t xml:space="preserve">Ecotourism is a major part of Queensland’s tourism offering, with 18 per cent of interstate visitors and 62 per cent of international visitors participating in eco or nature based activities. National parks and protected areas are central to the success of ecotourism, but other tenure classes also offer ecotourism opportunities. </w:t>
      </w:r>
    </w:p>
    <w:p w:rsidR="00ED67EA" w:rsidRDefault="00ED67EA" w:rsidP="004E3891">
      <w:pPr>
        <w:numPr>
          <w:ilvl w:val="0"/>
          <w:numId w:val="1"/>
        </w:numPr>
        <w:spacing w:before="240"/>
        <w:jc w:val="both"/>
        <w:rPr>
          <w:rFonts w:ascii="Arial" w:eastAsia="Calibri" w:hAnsi="Arial" w:cs="Arial"/>
          <w:color w:val="auto"/>
          <w:sz w:val="22"/>
          <w:szCs w:val="22"/>
        </w:rPr>
      </w:pPr>
      <w:r w:rsidRPr="007B784C">
        <w:rPr>
          <w:rFonts w:ascii="Arial" w:hAnsi="Arial" w:cs="Arial"/>
          <w:color w:val="auto"/>
          <w:sz w:val="22"/>
          <w:szCs w:val="22"/>
        </w:rPr>
        <w:t>The</w:t>
      </w:r>
      <w:r w:rsidRPr="00ED67EA">
        <w:rPr>
          <w:rFonts w:ascii="Arial" w:eastAsia="Calibri" w:hAnsi="Arial" w:cs="Arial"/>
          <w:color w:val="auto"/>
          <w:sz w:val="22"/>
          <w:szCs w:val="22"/>
        </w:rPr>
        <w:t xml:space="preserve"> </w:t>
      </w:r>
      <w:r w:rsidR="0042771F">
        <w:rPr>
          <w:rFonts w:ascii="Arial" w:eastAsia="Calibri" w:hAnsi="Arial" w:cs="Arial"/>
          <w:color w:val="auto"/>
          <w:sz w:val="22"/>
          <w:szCs w:val="22"/>
        </w:rPr>
        <w:t>Queensland Ecotourism Plan</w:t>
      </w:r>
      <w:r w:rsidRPr="00ED67EA">
        <w:rPr>
          <w:rFonts w:ascii="Arial" w:eastAsia="Calibri" w:hAnsi="Arial" w:cs="Arial"/>
          <w:color w:val="auto"/>
          <w:sz w:val="22"/>
          <w:szCs w:val="22"/>
        </w:rPr>
        <w:t xml:space="preserve"> 2015 – 2020 provides the </w:t>
      </w:r>
      <w:r w:rsidR="0042771F">
        <w:rPr>
          <w:rFonts w:ascii="Arial" w:eastAsia="Calibri" w:hAnsi="Arial" w:cs="Arial"/>
          <w:color w:val="auto"/>
          <w:sz w:val="22"/>
          <w:szCs w:val="22"/>
        </w:rPr>
        <w:t>Queensland</w:t>
      </w:r>
      <w:r w:rsidRPr="00ED67EA">
        <w:rPr>
          <w:rFonts w:ascii="Arial" w:eastAsia="Calibri" w:hAnsi="Arial" w:cs="Arial"/>
          <w:color w:val="auto"/>
          <w:sz w:val="22"/>
          <w:szCs w:val="22"/>
        </w:rPr>
        <w:t xml:space="preserve"> Government’s new vision, guiding principle, strategic priorities and a three-year Action Plan (2015-18) that aligns with tourism industry and government priorities as well as responding to industry challenges and market forces. </w:t>
      </w:r>
    </w:p>
    <w:p w:rsidR="00ED67EA" w:rsidRPr="00ED67EA" w:rsidRDefault="00ED67EA" w:rsidP="004E3891">
      <w:pPr>
        <w:numPr>
          <w:ilvl w:val="0"/>
          <w:numId w:val="1"/>
        </w:numPr>
        <w:spacing w:before="240"/>
        <w:jc w:val="both"/>
        <w:rPr>
          <w:rFonts w:ascii="Arial" w:eastAsia="Calibri" w:hAnsi="Arial" w:cs="Arial"/>
          <w:color w:val="auto"/>
          <w:sz w:val="22"/>
          <w:szCs w:val="22"/>
        </w:rPr>
      </w:pPr>
      <w:r w:rsidRPr="007B784C">
        <w:rPr>
          <w:rFonts w:ascii="Arial" w:hAnsi="Arial" w:cs="Arial"/>
          <w:color w:val="auto"/>
          <w:sz w:val="22"/>
          <w:szCs w:val="22"/>
        </w:rPr>
        <w:t>Five</w:t>
      </w:r>
      <w:r w:rsidRPr="00ED67EA">
        <w:rPr>
          <w:rFonts w:ascii="Arial" w:eastAsia="Calibri" w:hAnsi="Arial" w:cs="Arial"/>
          <w:color w:val="auto"/>
          <w:sz w:val="22"/>
          <w:szCs w:val="22"/>
        </w:rPr>
        <w:t xml:space="preserve"> new strategic directions outline initiatives required by the tourism industry, government and community stakeholders to achieve the vision and deliver the promise: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driving innovation in ecotourism experiences;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showcasing the world renowned Great Barrier Reef;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stimulating investment in new and refurbished ecotourism opportunities;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expanding authentic Indigenous ecotourism experiences; and </w:t>
      </w:r>
    </w:p>
    <w:p w:rsidR="00ED67EA" w:rsidRPr="00ED67EA" w:rsidRDefault="00ED67EA" w:rsidP="004E3891">
      <w:pPr>
        <w:pStyle w:val="Default"/>
        <w:numPr>
          <w:ilvl w:val="0"/>
          <w:numId w:val="4"/>
        </w:numPr>
        <w:spacing w:before="60"/>
        <w:jc w:val="both"/>
        <w:rPr>
          <w:rFonts w:ascii="Arial" w:hAnsi="Arial" w:cs="Arial"/>
          <w:color w:val="auto"/>
          <w:sz w:val="22"/>
          <w:szCs w:val="22"/>
        </w:rPr>
      </w:pPr>
      <w:r w:rsidRPr="00ED67EA">
        <w:rPr>
          <w:rFonts w:ascii="Arial" w:hAnsi="Arial" w:cs="Arial"/>
          <w:color w:val="auto"/>
          <w:sz w:val="22"/>
          <w:szCs w:val="22"/>
        </w:rPr>
        <w:t xml:space="preserve">promoting Queensland’s world-class ecotourism experiences. </w:t>
      </w:r>
    </w:p>
    <w:p w:rsidR="00ED67EA" w:rsidRPr="00ED67EA" w:rsidRDefault="007B784C" w:rsidP="004E3891">
      <w:pPr>
        <w:numPr>
          <w:ilvl w:val="0"/>
          <w:numId w:val="1"/>
        </w:numPr>
        <w:spacing w:before="240"/>
        <w:jc w:val="both"/>
        <w:rPr>
          <w:rFonts w:ascii="Arial" w:hAnsi="Arial" w:cs="Arial"/>
          <w:bCs/>
          <w:spacing w:val="-3"/>
          <w:sz w:val="22"/>
          <w:szCs w:val="22"/>
        </w:rPr>
      </w:pPr>
      <w:r w:rsidRPr="00EE0B29">
        <w:rPr>
          <w:rFonts w:ascii="Arial" w:hAnsi="Arial" w:cs="Arial"/>
          <w:color w:val="auto"/>
          <w:sz w:val="22"/>
          <w:szCs w:val="22"/>
          <w:u w:val="single"/>
        </w:rPr>
        <w:t>Cabinet</w:t>
      </w:r>
      <w:r w:rsidRPr="00EE0B29">
        <w:rPr>
          <w:rFonts w:ascii="Arial" w:hAnsi="Arial" w:cs="Arial"/>
          <w:bCs/>
          <w:spacing w:val="-3"/>
          <w:sz w:val="22"/>
          <w:szCs w:val="22"/>
          <w:u w:val="single"/>
        </w:rPr>
        <w:t xml:space="preserve"> </w:t>
      </w:r>
      <w:r w:rsidRPr="004F2CDF">
        <w:rPr>
          <w:rFonts w:ascii="Arial" w:hAnsi="Arial" w:cs="Arial"/>
          <w:bCs/>
          <w:spacing w:val="-3"/>
          <w:sz w:val="22"/>
          <w:szCs w:val="22"/>
          <w:u w:val="single"/>
        </w:rPr>
        <w:t>endorsed</w:t>
      </w:r>
      <w:r>
        <w:rPr>
          <w:rFonts w:ascii="Arial" w:hAnsi="Arial" w:cs="Arial"/>
          <w:bCs/>
          <w:spacing w:val="-3"/>
          <w:sz w:val="22"/>
          <w:szCs w:val="22"/>
        </w:rPr>
        <w:t xml:space="preserve"> the </w:t>
      </w:r>
      <w:r w:rsidR="00EB5AEE">
        <w:rPr>
          <w:rFonts w:ascii="Arial" w:hAnsi="Arial" w:cs="Arial"/>
          <w:bCs/>
          <w:spacing w:val="-3"/>
          <w:sz w:val="22"/>
          <w:szCs w:val="22"/>
        </w:rPr>
        <w:t xml:space="preserve">2015 </w:t>
      </w:r>
      <w:r>
        <w:rPr>
          <w:rFonts w:ascii="Arial" w:hAnsi="Arial" w:cs="Arial"/>
          <w:bCs/>
          <w:spacing w:val="-3"/>
          <w:sz w:val="22"/>
          <w:szCs w:val="22"/>
        </w:rPr>
        <w:t xml:space="preserve">State of the Industry online report be released at the </w:t>
      </w:r>
      <w:r w:rsidRPr="007B784C">
        <w:rPr>
          <w:rFonts w:ascii="Arial" w:hAnsi="Arial" w:cs="Arial"/>
          <w:bCs/>
          <w:i/>
          <w:spacing w:val="-3"/>
          <w:sz w:val="22"/>
          <w:szCs w:val="22"/>
        </w:rPr>
        <w:t>DestinationQ</w:t>
      </w:r>
      <w:r>
        <w:rPr>
          <w:rFonts w:ascii="Arial" w:hAnsi="Arial" w:cs="Arial"/>
          <w:bCs/>
          <w:spacing w:val="-3"/>
          <w:sz w:val="22"/>
          <w:szCs w:val="22"/>
        </w:rPr>
        <w:t xml:space="preserve"> Forum in October 2015.</w:t>
      </w:r>
    </w:p>
    <w:p w:rsidR="00D6589B" w:rsidRPr="00A527A5" w:rsidRDefault="004F2CDF" w:rsidP="004E3891">
      <w:pPr>
        <w:numPr>
          <w:ilvl w:val="0"/>
          <w:numId w:val="1"/>
        </w:numPr>
        <w:spacing w:before="240"/>
        <w:jc w:val="both"/>
        <w:rPr>
          <w:rFonts w:ascii="Arial" w:hAnsi="Arial" w:cs="Arial"/>
          <w:bCs/>
          <w:spacing w:val="-3"/>
          <w:sz w:val="22"/>
          <w:szCs w:val="22"/>
        </w:rPr>
      </w:pPr>
      <w:r w:rsidRPr="00EE0B29">
        <w:rPr>
          <w:rFonts w:ascii="Arial" w:hAnsi="Arial" w:cs="Arial"/>
          <w:color w:val="auto"/>
          <w:sz w:val="22"/>
          <w:szCs w:val="22"/>
          <w:u w:val="single"/>
        </w:rPr>
        <w:t>Cabinet</w:t>
      </w:r>
      <w:r w:rsidRPr="00EE0B29">
        <w:rPr>
          <w:rFonts w:ascii="Arial" w:hAnsi="Arial" w:cs="Arial"/>
          <w:bCs/>
          <w:spacing w:val="-3"/>
          <w:sz w:val="22"/>
          <w:szCs w:val="22"/>
          <w:u w:val="single"/>
        </w:rPr>
        <w:t xml:space="preserve"> e</w:t>
      </w:r>
      <w:r w:rsidRPr="004F2CDF">
        <w:rPr>
          <w:rFonts w:ascii="Arial" w:hAnsi="Arial" w:cs="Arial"/>
          <w:bCs/>
          <w:spacing w:val="-3"/>
          <w:sz w:val="22"/>
          <w:szCs w:val="22"/>
          <w:u w:val="single"/>
        </w:rPr>
        <w:t>ndorsed</w:t>
      </w:r>
      <w:r>
        <w:rPr>
          <w:rFonts w:ascii="Arial" w:hAnsi="Arial" w:cs="Arial"/>
          <w:bCs/>
          <w:spacing w:val="-3"/>
          <w:sz w:val="22"/>
          <w:szCs w:val="22"/>
        </w:rPr>
        <w:t xml:space="preserve"> the revised draft Queensland Ecotourism Plan </w:t>
      </w:r>
      <w:r w:rsidR="00EB5AEE">
        <w:rPr>
          <w:rFonts w:ascii="Arial" w:hAnsi="Arial" w:cs="Arial"/>
          <w:bCs/>
          <w:spacing w:val="-3"/>
          <w:sz w:val="22"/>
          <w:szCs w:val="22"/>
        </w:rPr>
        <w:t xml:space="preserve">be </w:t>
      </w:r>
      <w:r>
        <w:rPr>
          <w:rFonts w:ascii="Arial" w:hAnsi="Arial" w:cs="Arial"/>
          <w:bCs/>
          <w:spacing w:val="-3"/>
          <w:sz w:val="22"/>
          <w:szCs w:val="22"/>
        </w:rPr>
        <w:t>release</w:t>
      </w:r>
      <w:r w:rsidR="00EB5AEE">
        <w:rPr>
          <w:rFonts w:ascii="Arial" w:hAnsi="Arial" w:cs="Arial"/>
          <w:bCs/>
          <w:spacing w:val="-3"/>
          <w:sz w:val="22"/>
          <w:szCs w:val="22"/>
        </w:rPr>
        <w:t>d</w:t>
      </w:r>
      <w:r>
        <w:rPr>
          <w:rFonts w:ascii="Arial" w:hAnsi="Arial" w:cs="Arial"/>
          <w:bCs/>
          <w:spacing w:val="-3"/>
          <w:sz w:val="22"/>
          <w:szCs w:val="22"/>
        </w:rPr>
        <w:t xml:space="preserve"> for consultation at the </w:t>
      </w:r>
      <w:r w:rsidRPr="00EE0B29">
        <w:rPr>
          <w:rFonts w:ascii="Arial" w:hAnsi="Arial" w:cs="Arial"/>
          <w:bCs/>
          <w:i/>
          <w:spacing w:val="-3"/>
          <w:sz w:val="22"/>
          <w:szCs w:val="22"/>
        </w:rPr>
        <w:t>DestinationQ</w:t>
      </w:r>
      <w:r>
        <w:rPr>
          <w:rFonts w:ascii="Arial" w:hAnsi="Arial" w:cs="Arial"/>
          <w:bCs/>
          <w:spacing w:val="-3"/>
          <w:sz w:val="22"/>
          <w:szCs w:val="22"/>
        </w:rPr>
        <w:t xml:space="preserve"> Forum in October 2015.</w:t>
      </w:r>
    </w:p>
    <w:p w:rsidR="00D6589B" w:rsidRPr="00EE0B29" w:rsidRDefault="00D6589B" w:rsidP="004E3891">
      <w:pPr>
        <w:numPr>
          <w:ilvl w:val="0"/>
          <w:numId w:val="1"/>
        </w:numPr>
        <w:spacing w:before="360"/>
        <w:jc w:val="both"/>
        <w:rPr>
          <w:rFonts w:ascii="Arial" w:hAnsi="Arial" w:cs="Arial"/>
          <w:i/>
          <w:sz w:val="22"/>
          <w:szCs w:val="22"/>
          <w:u w:val="single"/>
        </w:rPr>
      </w:pPr>
      <w:r w:rsidRPr="00EE0B29">
        <w:rPr>
          <w:rFonts w:ascii="Arial" w:hAnsi="Arial" w:cs="Arial"/>
          <w:i/>
          <w:color w:val="auto"/>
          <w:sz w:val="22"/>
          <w:szCs w:val="22"/>
          <w:u w:val="single"/>
        </w:rPr>
        <w:t>Attachment</w:t>
      </w:r>
      <w:r w:rsidR="004E3891">
        <w:rPr>
          <w:rFonts w:ascii="Arial" w:hAnsi="Arial" w:cs="Arial"/>
          <w:i/>
          <w:color w:val="auto"/>
          <w:sz w:val="22"/>
          <w:szCs w:val="22"/>
          <w:u w:val="single"/>
        </w:rPr>
        <w:t>s</w:t>
      </w:r>
    </w:p>
    <w:p w:rsidR="00EE0B29" w:rsidRDefault="00071B4F" w:rsidP="004E3891">
      <w:pPr>
        <w:numPr>
          <w:ilvl w:val="0"/>
          <w:numId w:val="2"/>
        </w:numPr>
        <w:spacing w:before="120"/>
        <w:ind w:left="811"/>
        <w:jc w:val="both"/>
        <w:rPr>
          <w:rFonts w:ascii="Arial" w:hAnsi="Arial" w:cs="Arial"/>
          <w:sz w:val="22"/>
          <w:szCs w:val="22"/>
        </w:rPr>
      </w:pPr>
      <w:hyperlink r:id="rId11" w:history="1">
        <w:r w:rsidR="00EE0B29" w:rsidRPr="008914A1">
          <w:rPr>
            <w:rStyle w:val="Hyperlink"/>
            <w:rFonts w:ascii="Arial" w:hAnsi="Arial" w:cs="Arial"/>
            <w:sz w:val="22"/>
            <w:szCs w:val="22"/>
          </w:rPr>
          <w:t>Draft Queensland Ecotourism Plan</w:t>
        </w:r>
      </w:hyperlink>
    </w:p>
    <w:sectPr w:rsidR="00EE0B29" w:rsidSect="004E3891">
      <w:headerReference w:type="default" r:id="rId12"/>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A9" w:rsidRDefault="00B054A9" w:rsidP="00D6589B">
      <w:r>
        <w:separator/>
      </w:r>
    </w:p>
  </w:endnote>
  <w:endnote w:type="continuationSeparator" w:id="0">
    <w:p w:rsidR="00B054A9" w:rsidRDefault="00B054A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A9" w:rsidRDefault="00B054A9" w:rsidP="00D6589B">
      <w:r>
        <w:separator/>
      </w:r>
    </w:p>
  </w:footnote>
  <w:footnote w:type="continuationSeparator" w:id="0">
    <w:p w:rsidR="00B054A9" w:rsidRDefault="00B054A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E0B29">
      <w:rPr>
        <w:rFonts w:ascii="Arial" w:hAnsi="Arial" w:cs="Arial"/>
        <w:b/>
        <w:color w:val="auto"/>
        <w:sz w:val="22"/>
        <w:szCs w:val="22"/>
        <w:lang w:eastAsia="en-US"/>
      </w:rPr>
      <w:t>September 2015</w:t>
    </w:r>
  </w:p>
  <w:p w:rsidR="00CB1501" w:rsidRDefault="00EE0B29" w:rsidP="00D6589B">
    <w:pPr>
      <w:pStyle w:val="Header"/>
      <w:spacing w:before="120"/>
      <w:rPr>
        <w:rFonts w:ascii="Arial" w:hAnsi="Arial" w:cs="Arial"/>
        <w:b/>
        <w:sz w:val="22"/>
        <w:szCs w:val="22"/>
        <w:u w:val="single"/>
      </w:rPr>
    </w:pPr>
    <w:r>
      <w:rPr>
        <w:rFonts w:ascii="Arial" w:hAnsi="Arial" w:cs="Arial"/>
        <w:b/>
        <w:sz w:val="22"/>
        <w:szCs w:val="22"/>
        <w:u w:val="single"/>
      </w:rPr>
      <w:t xml:space="preserve">Release of key deliverables for </w:t>
    </w:r>
    <w:r w:rsidRPr="00EE0B29">
      <w:rPr>
        <w:rFonts w:ascii="Arial" w:hAnsi="Arial" w:cs="Arial"/>
        <w:b/>
        <w:i/>
        <w:sz w:val="22"/>
        <w:szCs w:val="22"/>
        <w:u w:val="single"/>
      </w:rPr>
      <w:t>DestinationQ</w:t>
    </w:r>
    <w:r>
      <w:rPr>
        <w:rFonts w:ascii="Arial" w:hAnsi="Arial" w:cs="Arial"/>
        <w:b/>
        <w:sz w:val="22"/>
        <w:szCs w:val="22"/>
        <w:u w:val="single"/>
      </w:rPr>
      <w:t xml:space="preserve"> forum</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EE0B29">
      <w:rPr>
        <w:rFonts w:ascii="Arial" w:hAnsi="Arial" w:cs="Arial"/>
        <w:b/>
        <w:sz w:val="22"/>
        <w:szCs w:val="22"/>
        <w:u w:val="single"/>
      </w:rPr>
      <w:t xml:space="preserve"> for Education and Minister for Tourism, Major Events, Small Business and the Commonwealth Games</w:t>
    </w:r>
  </w:p>
  <w:p w:rsidR="00EE0B29" w:rsidRDefault="00EE0B29" w:rsidP="004E3891">
    <w:pPr>
      <w:pStyle w:val="Header"/>
      <w:rPr>
        <w:rFonts w:ascii="Arial" w:hAnsi="Arial" w:cs="Arial"/>
        <w:b/>
        <w:sz w:val="22"/>
        <w:szCs w:val="22"/>
        <w:u w:val="single"/>
      </w:rPr>
    </w:pPr>
    <w:r>
      <w:rPr>
        <w:rFonts w:ascii="Arial" w:hAnsi="Arial" w:cs="Arial"/>
        <w:b/>
        <w:sz w:val="22"/>
        <w:szCs w:val="22"/>
        <w:u w:val="single"/>
      </w:rPr>
      <w:t>Minister 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1DD615"/>
    <w:multiLevelType w:val="hybridMultilevel"/>
    <w:tmpl w:val="C2983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E66B48"/>
    <w:multiLevelType w:val="hybridMultilevel"/>
    <w:tmpl w:val="F1B08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AE"/>
    <w:rsid w:val="00071B4F"/>
    <w:rsid w:val="00080F8F"/>
    <w:rsid w:val="000B3C58"/>
    <w:rsid w:val="0010384C"/>
    <w:rsid w:val="00152095"/>
    <w:rsid w:val="00174117"/>
    <w:rsid w:val="001A5405"/>
    <w:rsid w:val="001C2CAE"/>
    <w:rsid w:val="001C30CF"/>
    <w:rsid w:val="00244B8A"/>
    <w:rsid w:val="00352617"/>
    <w:rsid w:val="003652C0"/>
    <w:rsid w:val="003A3BDD"/>
    <w:rsid w:val="003B210E"/>
    <w:rsid w:val="003C68AE"/>
    <w:rsid w:val="0042771F"/>
    <w:rsid w:val="0043543B"/>
    <w:rsid w:val="004E3891"/>
    <w:rsid w:val="004F2CDF"/>
    <w:rsid w:val="00501C66"/>
    <w:rsid w:val="00550873"/>
    <w:rsid w:val="00566DF3"/>
    <w:rsid w:val="00580D63"/>
    <w:rsid w:val="00716DBF"/>
    <w:rsid w:val="007265D0"/>
    <w:rsid w:val="00732E22"/>
    <w:rsid w:val="00741C20"/>
    <w:rsid w:val="0076003E"/>
    <w:rsid w:val="007B784C"/>
    <w:rsid w:val="007F44F4"/>
    <w:rsid w:val="008914A1"/>
    <w:rsid w:val="008B5AE2"/>
    <w:rsid w:val="00904077"/>
    <w:rsid w:val="00937A4A"/>
    <w:rsid w:val="00B054A9"/>
    <w:rsid w:val="00B945F4"/>
    <w:rsid w:val="00B95A06"/>
    <w:rsid w:val="00BF3F74"/>
    <w:rsid w:val="00C75E67"/>
    <w:rsid w:val="00C96EE2"/>
    <w:rsid w:val="00CB1501"/>
    <w:rsid w:val="00CD7A50"/>
    <w:rsid w:val="00CF0D8A"/>
    <w:rsid w:val="00D6589B"/>
    <w:rsid w:val="00E52189"/>
    <w:rsid w:val="00EB5AEE"/>
    <w:rsid w:val="00ED67EA"/>
    <w:rsid w:val="00EE0B29"/>
    <w:rsid w:val="00F02D4A"/>
    <w:rsid w:val="00F24A8A"/>
    <w:rsid w:val="00F45B99"/>
    <w:rsid w:val="00F648C8"/>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1C2C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67EA"/>
    <w:pPr>
      <w:ind w:left="720"/>
      <w:contextualSpacing/>
    </w:pPr>
  </w:style>
  <w:style w:type="character" w:styleId="Hyperlink">
    <w:name w:val="Hyperlink"/>
    <w:uiPriority w:val="99"/>
    <w:unhideWhenUsed/>
    <w:rsid w:val="00EB5AEE"/>
    <w:rPr>
      <w:color w:val="0563C1"/>
      <w:u w:val="single"/>
    </w:rPr>
  </w:style>
  <w:style w:type="character" w:styleId="FollowedHyperlink">
    <w:name w:val="FollowedHyperlink"/>
    <w:uiPriority w:val="99"/>
    <w:semiHidden/>
    <w:unhideWhenUsed/>
    <w:rsid w:val="00EB5AE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Draft%20Plan.PDF" TargetMode="External"/><Relationship Id="rId5" Type="http://schemas.openxmlformats.org/officeDocument/2006/relationships/styles" Target="styles.xml"/><Relationship Id="rId10" Type="http://schemas.openxmlformats.org/officeDocument/2006/relationships/hyperlink" Target="http://www.destq.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D4ACB-7F28-4A68-90F8-4C9F32D7C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346</Words>
  <Characters>2140</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CharactersWithSpaces>
  <SharedDoc>false</SharedDoc>
  <HyperlinkBase>https://www.cabinet.qld.gov.au/documents/2015/Sep/DestQForum/</HyperlinkBase>
  <HLinks>
    <vt:vector size="12" baseType="variant">
      <vt:variant>
        <vt:i4>6488108</vt:i4>
      </vt:variant>
      <vt:variant>
        <vt:i4>3</vt:i4>
      </vt:variant>
      <vt:variant>
        <vt:i4>0</vt:i4>
      </vt:variant>
      <vt:variant>
        <vt:i4>5</vt:i4>
      </vt:variant>
      <vt:variant>
        <vt:lpwstr>Attachments/Draft Plan.PDF</vt:lpwstr>
      </vt:variant>
      <vt:variant>
        <vt:lpwstr/>
      </vt:variant>
      <vt:variant>
        <vt:i4>852059</vt:i4>
      </vt:variant>
      <vt:variant>
        <vt:i4>0</vt:i4>
      </vt:variant>
      <vt:variant>
        <vt:i4>0</vt:i4>
      </vt:variant>
      <vt:variant>
        <vt:i4>5</vt:i4>
      </vt:variant>
      <vt:variant>
        <vt:lpwstr>http://www.destq.com.au/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2017-10-25T01:35:00Z</dcterms:created>
  <dcterms:modified xsi:type="dcterms:W3CDTF">2018-03-06T01:32:00Z</dcterms:modified>
  <cp:category>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